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0253A2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B716B0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7" w:history="1">
              <w:r w:rsidR="00D6381E" w:rsidRPr="000253A2">
                <w:rPr>
                  <w:rStyle w:val="a5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B716B0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0253A2">
                <w:rPr>
                  <w:rStyle w:val="a5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0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1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F90DC2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B716B0" w:rsidP="008C2CB4">
            <w:pPr>
              <w:rPr>
                <w:sz w:val="22"/>
                <w:szCs w:val="22"/>
              </w:rPr>
            </w:pPr>
            <w:hyperlink r:id="rId13" w:history="1">
              <w:r w:rsidR="00D6381E" w:rsidRPr="000253A2">
                <w:rPr>
                  <w:rStyle w:val="a5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="00FB25DA" w:rsidRPr="00FB25DA">
              <w:rPr>
                <w:color w:val="7030A0"/>
                <w:sz w:val="22"/>
                <w:szCs w:val="22"/>
              </w:rPr>
              <w:t>цвет</w:t>
            </w:r>
            <w:r w:rsidR="00FB25DA">
              <w:rPr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833332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0253A2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716B0" w:rsidP="00C22E76">
            <w:pPr>
              <w:contextualSpacing/>
            </w:pPr>
            <w:hyperlink r:id="rId14" w:history="1">
              <w:r w:rsidR="00210186" w:rsidRPr="000253A2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666E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Цветок-брошь </w:t>
            </w:r>
            <w:r w:rsidR="00D23A6E">
              <w:rPr>
                <w:sz w:val="22"/>
                <w:szCs w:val="22"/>
              </w:rPr>
              <w:t>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B716B0" w:rsidP="00C22E76">
            <w:pPr>
              <w:contextualSpacing/>
            </w:pPr>
            <w:hyperlink r:id="rId15" w:history="1">
              <w:r w:rsidR="00C1234A" w:rsidRPr="000253A2">
                <w:rPr>
                  <w:rStyle w:val="a5"/>
                </w:rPr>
                <w:t>АГ_029</w:t>
              </w:r>
            </w:hyperlink>
          </w:p>
          <w:p w:rsidR="00C1234A" w:rsidRPr="001236D8" w:rsidRDefault="00C1234A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Pr="001236D8" w:rsidRDefault="00C1234A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B716B0" w:rsidP="00C22E76">
            <w:pPr>
              <w:contextualSpacing/>
            </w:pPr>
            <w:hyperlink r:id="rId16" w:history="1">
              <w:r w:rsidR="000D76F7" w:rsidRPr="000253A2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</w:t>
            </w:r>
            <w:r w:rsidR="00F811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B716B0" w:rsidP="00C22E76">
            <w:pPr>
              <w:contextualSpacing/>
            </w:pPr>
            <w:hyperlink r:id="rId17" w:history="1">
              <w:r w:rsidR="000D76F7" w:rsidRPr="000253A2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Pr="006C0222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карманом,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53A2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2F9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1672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66E0D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5BF2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6B0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A28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0089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1170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9577101-odezhda-ag-016-plate-asimmetrichnoe-s-karmanami-t-sinee" TargetMode="External"/><Relationship Id="rId13" Type="http://schemas.openxmlformats.org/officeDocument/2006/relationships/hyperlink" Target="https://www.livemaster.ru/item/10479943-aksessuary-ag-026-remen-rezinka-s-pryazhkoj-shirina-4-5-sm-ch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27687357-odezhda-ag-004-plate-asimmetrichnoe-s-karmanami-t-sinee-s-dvo" TargetMode="External"/><Relationship Id="rId12" Type="http://schemas.openxmlformats.org/officeDocument/2006/relationships/hyperlink" Target="https://tessuti.ru/tessuti_catalog/tkani/detail.php?ELEMENT_ID=188365&amp;sphrase_id=17432" TargetMode="External"/><Relationship Id="rId17" Type="http://schemas.openxmlformats.org/officeDocument/2006/relationships/hyperlink" Target="https://www.livemaster.ru/item/36845068-odezhda-ag-032-plate-asimmetrichnoe-tsvet-chernyj-s-kosymi-ts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36987284-odezhda-ag-031-plate-asimmetrichnoe-tsvet-bezh-s-pesochno-ch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tessuti.ru/tessuti_catalog/tkani/detail.php?ELEMENT_ID=188367&amp;sphrase_id=174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6801786-odezhda-ag-029-plate-asimmetrichnoe-tsvet-belyj-s-ryzhe-sero-" TargetMode="External"/><Relationship Id="rId10" Type="http://schemas.openxmlformats.org/officeDocument/2006/relationships/hyperlink" Target="https://tessuti.ru/tessuti_catalog/tkani/detail.php?ELEMENT_ID=188366&amp;sphrase_id=174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suti.ru/tessuti_catalog/tkani/detail.php?ELEMENT_ID=181971" TargetMode="External"/><Relationship Id="rId14" Type="http://schemas.openxmlformats.org/officeDocument/2006/relationships/hyperlink" Target="https://www.livemaster.ru/item/36858838-odezhda-ag-028-plate-asimmetrichnoe-tsvet-belyj-s-cherno-ze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2722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223</cp:revision>
  <cp:lastPrinted>2012-06-08T16:38:00Z</cp:lastPrinted>
  <dcterms:created xsi:type="dcterms:W3CDTF">2015-05-18T15:38:00Z</dcterms:created>
  <dcterms:modified xsi:type="dcterms:W3CDTF">2021-03-20T18:21:00Z</dcterms:modified>
</cp:coreProperties>
</file>